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D3EC9" w14:textId="2807B012" w:rsidR="00E4696B" w:rsidRPr="00D10F78" w:rsidRDefault="003E7E0E" w:rsidP="00E4696B">
      <w:pPr>
        <w:jc w:val="center"/>
        <w:rPr>
          <w:rFonts w:ascii="Franklin Gothic Heavy" w:hAnsi="Franklin Gothic Heavy"/>
          <w:u w:val="single"/>
        </w:rPr>
      </w:pPr>
      <w:r w:rsidRPr="00D10F78">
        <w:rPr>
          <w:rFonts w:ascii="Franklin Gothic Heavy" w:hAnsi="Franklin Gothic Heavy"/>
          <w:u w:val="single"/>
        </w:rPr>
        <w:t>F &amp; A STATEMENT</w:t>
      </w:r>
      <w:r w:rsidR="00D10F78" w:rsidRPr="00D10F78">
        <w:rPr>
          <w:rFonts w:ascii="Franklin Gothic Heavy" w:hAnsi="Franklin Gothic Heavy"/>
          <w:u w:val="single"/>
        </w:rPr>
        <w:t xml:space="preserve"> FOR BUDGET JUSTIFICATION</w:t>
      </w:r>
    </w:p>
    <w:p w14:paraId="13693E82" w14:textId="07C20479" w:rsidR="00CE4294" w:rsidRDefault="00E4696B" w:rsidP="008D06C4">
      <w:pPr>
        <w:spacing w:after="0" w:line="240" w:lineRule="auto"/>
        <w:jc w:val="center"/>
        <w:rPr>
          <w:sz w:val="20"/>
          <w:szCs w:val="20"/>
        </w:rPr>
      </w:pPr>
      <w:r w:rsidRPr="00CE4294">
        <w:rPr>
          <w:sz w:val="20"/>
          <w:szCs w:val="20"/>
        </w:rPr>
        <w:t>Rev. September 2017</w:t>
      </w:r>
    </w:p>
    <w:p w14:paraId="53607F3B" w14:textId="77777777" w:rsidR="003E7E0E" w:rsidRDefault="003E7E0E" w:rsidP="003E7E0E">
      <w:pPr>
        <w:jc w:val="center"/>
        <w:rPr>
          <w:rFonts w:ascii="Franklin Gothic Heavy" w:hAnsi="Franklin Gothic Heavy"/>
          <w:u w:val="single"/>
        </w:rPr>
      </w:pPr>
    </w:p>
    <w:p w14:paraId="7A181D76" w14:textId="37FDEF19" w:rsidR="00E4696B" w:rsidRPr="00D10F78" w:rsidRDefault="00E4696B" w:rsidP="003E7E0E">
      <w:pPr>
        <w:jc w:val="center"/>
        <w:rPr>
          <w:rFonts w:ascii="Franklin Gothic Heavy" w:hAnsi="Franklin Gothic Heavy"/>
          <w:i/>
          <w:u w:val="single"/>
        </w:rPr>
      </w:pPr>
      <w:r w:rsidRPr="00D10F78">
        <w:rPr>
          <w:rFonts w:ascii="Franklin Gothic Heavy" w:hAnsi="Franklin Gothic Heavy"/>
          <w:i/>
          <w:u w:val="single"/>
        </w:rPr>
        <w:t>STATEMENT TO USE WITH STATE AGENCIES</w:t>
      </w:r>
      <w:r w:rsidR="003E7E0E" w:rsidRPr="00D10F78">
        <w:rPr>
          <w:rFonts w:ascii="Franklin Gothic Heavy" w:hAnsi="Franklin Gothic Heavy"/>
          <w:i/>
          <w:u w:val="single"/>
        </w:rPr>
        <w:t>, LOCAL GOVERNMENT JURISDICTIONS,</w:t>
      </w:r>
      <w:r w:rsidRPr="00D10F78">
        <w:rPr>
          <w:rFonts w:ascii="Franklin Gothic Heavy" w:hAnsi="Franklin Gothic Heavy"/>
          <w:i/>
          <w:u w:val="single"/>
        </w:rPr>
        <w:t xml:space="preserve"> AND CORPORATIONS</w:t>
      </w:r>
    </w:p>
    <w:p w14:paraId="1905267D" w14:textId="3D88E06D" w:rsidR="006E0C7C" w:rsidRDefault="00E4696B">
      <w:r>
        <w:rPr>
          <w:b/>
          <w:u w:val="single"/>
        </w:rPr>
        <w:t>Facilities and Administration (</w:t>
      </w:r>
      <w:r w:rsidR="003F2392" w:rsidRPr="003F2392">
        <w:rPr>
          <w:b/>
          <w:u w:val="single"/>
        </w:rPr>
        <w:t>F &amp; A</w:t>
      </w:r>
      <w:r>
        <w:rPr>
          <w:b/>
          <w:u w:val="single"/>
        </w:rPr>
        <w:t>)</w:t>
      </w:r>
      <w:r w:rsidR="003F2392" w:rsidRPr="003F2392">
        <w:rPr>
          <w:b/>
          <w:u w:val="single"/>
        </w:rPr>
        <w:t xml:space="preserve"> Recovery Statement</w:t>
      </w:r>
      <w:r w:rsidR="003F2392">
        <w:t>:</w:t>
      </w:r>
    </w:p>
    <w:p w14:paraId="75A24114" w14:textId="0E5B3506" w:rsidR="00941A34" w:rsidRPr="00840143" w:rsidRDefault="003F2392"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sidRPr="00840143">
        <w:rPr>
          <w:bCs/>
          <w:color w:val="000000"/>
        </w:rPr>
        <w:t xml:space="preserve">UMBC’s Facilities and Administrative (F &amp; A) recovery costs </w:t>
      </w:r>
      <w:r w:rsidR="00941A34" w:rsidRPr="00840143">
        <w:rPr>
          <w:bCs/>
          <w:color w:val="000000"/>
        </w:rPr>
        <w:t xml:space="preserve">are calculated based on the </w:t>
      </w:r>
      <w:r w:rsidR="00E4696B">
        <w:rPr>
          <w:bCs/>
          <w:color w:val="000000"/>
        </w:rPr>
        <w:t>U</w:t>
      </w:r>
      <w:r w:rsidR="00941A34" w:rsidRPr="00840143">
        <w:rPr>
          <w:bCs/>
          <w:color w:val="000000"/>
        </w:rPr>
        <w:t xml:space="preserve">niversity’s federally negotiated rate </w:t>
      </w:r>
      <w:r w:rsidR="00840143" w:rsidRPr="00840143">
        <w:rPr>
          <w:bCs/>
          <w:color w:val="000000"/>
        </w:rPr>
        <w:t xml:space="preserve">and </w:t>
      </w:r>
      <w:r w:rsidR="009F0267" w:rsidRPr="00840143">
        <w:rPr>
          <w:bCs/>
          <w:color w:val="000000"/>
        </w:rPr>
        <w:t>represent costs to the project that</w:t>
      </w:r>
      <w:r w:rsidR="00941A34" w:rsidRPr="00840143">
        <w:rPr>
          <w:bCs/>
          <w:color w:val="000000"/>
        </w:rPr>
        <w:t xml:space="preserve"> help support sponsored activity both on- and off-campus.  </w:t>
      </w:r>
      <w:r w:rsidR="00941A34" w:rsidRPr="00840143">
        <w:rPr>
          <w:rFonts w:eastAsia="Times New Roman"/>
          <w:color w:val="000000"/>
        </w:rPr>
        <w:t>The application of the</w:t>
      </w:r>
      <w:r w:rsidR="00060524">
        <w:rPr>
          <w:rFonts w:eastAsia="Times New Roman"/>
          <w:color w:val="000000"/>
        </w:rPr>
        <w:t xml:space="preserve"> F&amp;A recovery </w:t>
      </w:r>
      <w:r w:rsidR="00941A34" w:rsidRPr="00840143">
        <w:rPr>
          <w:rFonts w:eastAsia="Times New Roman"/>
          <w:color w:val="000000"/>
        </w:rPr>
        <w:t xml:space="preserve">rate allows UMBC to recover certain costs (e.g. facilities, utilities, central and departmental administration, etc.) associated with sponsored activities that are not directly charged in the project budget.  These are true incurred costs that must be recovered for proper and effective project administration, management, implementation, and closeout. </w:t>
      </w:r>
    </w:p>
    <w:p w14:paraId="6CA79AE4" w14:textId="77777777" w:rsidR="009F0267" w:rsidRPr="00840143" w:rsidRDefault="009F0267"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p>
    <w:p w14:paraId="74EE1C21" w14:textId="2B474208" w:rsidR="00BD3DBD" w:rsidRDefault="00060524"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Pr>
          <w:bCs/>
          <w:color w:val="000000"/>
        </w:rPr>
        <w:t xml:space="preserve">The </w:t>
      </w:r>
      <w:r w:rsidR="009F0267" w:rsidRPr="00840143">
        <w:rPr>
          <w:bCs/>
          <w:color w:val="000000"/>
        </w:rPr>
        <w:t xml:space="preserve">F &amp;A recovery </w:t>
      </w:r>
      <w:r>
        <w:rPr>
          <w:bCs/>
          <w:color w:val="000000"/>
        </w:rPr>
        <w:t xml:space="preserve">rate applied to this </w:t>
      </w:r>
      <w:r w:rsidR="00CE4294">
        <w:rPr>
          <w:bCs/>
          <w:color w:val="000000"/>
        </w:rPr>
        <w:t>project</w:t>
      </w:r>
      <w:r>
        <w:rPr>
          <w:bCs/>
          <w:color w:val="000000"/>
        </w:rPr>
        <w:t xml:space="preserve"> is in </w:t>
      </w:r>
      <w:r w:rsidR="003F2392" w:rsidRPr="00840143">
        <w:rPr>
          <w:bCs/>
          <w:color w:val="000000"/>
        </w:rPr>
        <w:t xml:space="preserve">accordance with the Department of Health and Human Services (DHHS) Colleges and Universities Rate Agreement dated 09/30/2016. </w:t>
      </w:r>
      <w:r>
        <w:rPr>
          <w:bCs/>
          <w:color w:val="000000"/>
        </w:rPr>
        <w:t xml:space="preserve">The Rate Agreement </w:t>
      </w:r>
      <w:r w:rsidR="00814CAA">
        <w:rPr>
          <w:bCs/>
          <w:color w:val="000000"/>
        </w:rPr>
        <w:t xml:space="preserve">stems from </w:t>
      </w:r>
      <w:r w:rsidR="00E528D8">
        <w:rPr>
          <w:bCs/>
          <w:color w:val="000000"/>
        </w:rPr>
        <w:t>a stringent review process</w:t>
      </w:r>
      <w:r w:rsidR="00814CAA">
        <w:rPr>
          <w:bCs/>
          <w:color w:val="000000"/>
        </w:rPr>
        <w:t xml:space="preserve"> with DHHS</w:t>
      </w:r>
      <w:r w:rsidR="00E528D8">
        <w:rPr>
          <w:bCs/>
          <w:color w:val="000000"/>
        </w:rPr>
        <w:t xml:space="preserve"> requiring validation of all costs.  </w:t>
      </w:r>
      <w:r w:rsidR="0056324E">
        <w:rPr>
          <w:bCs/>
          <w:color w:val="000000"/>
        </w:rPr>
        <w:t xml:space="preserve">Given the above, the </w:t>
      </w:r>
      <w:r w:rsidR="003F2392" w:rsidRPr="00840143">
        <w:rPr>
          <w:bCs/>
          <w:color w:val="000000"/>
        </w:rPr>
        <w:t xml:space="preserve">F &amp; A recovery </w:t>
      </w:r>
      <w:r w:rsidR="0056324E">
        <w:rPr>
          <w:bCs/>
          <w:color w:val="000000"/>
        </w:rPr>
        <w:t xml:space="preserve">rates applied to this project are: </w:t>
      </w:r>
    </w:p>
    <w:p w14:paraId="6DBA0F34" w14:textId="77777777" w:rsidR="00BD3DBD" w:rsidRDefault="00BD3DBD" w:rsidP="00BD3DBD">
      <w:pPr>
        <w:pStyle w:val="BodyTextIndent2"/>
        <w:ind w:left="0" w:firstLine="0"/>
        <w:rPr>
          <w:rFonts w:ascii="Times New Roman" w:eastAsiaTheme="minorHAnsi" w:hAnsi="Times New Roman" w:cs="Times New Roman"/>
          <w:bCs/>
          <w:color w:val="000000"/>
        </w:rPr>
      </w:pPr>
    </w:p>
    <w:p w14:paraId="15E6296A" w14:textId="77777777" w:rsidR="00BD3DBD" w:rsidRDefault="00BD3DBD" w:rsidP="00BD3DBD">
      <w:pPr>
        <w:pStyle w:val="BodyTextIndent2"/>
        <w:ind w:left="0" w:firstLine="0"/>
        <w:jc w:val="center"/>
        <w:rPr>
          <w:rFonts w:ascii="Times New Roman" w:eastAsiaTheme="minorHAnsi" w:hAnsi="Times New Roman" w:cs="Times New Roman"/>
          <w:bCs/>
          <w:color w:val="000000"/>
        </w:rPr>
      </w:pPr>
      <w:r w:rsidRPr="00E4696B">
        <w:rPr>
          <w:rFonts w:ascii="Times New Roman" w:eastAsiaTheme="minorHAnsi" w:hAnsi="Times New Roman" w:cs="Times New Roman"/>
          <w:b/>
          <w:bCs/>
          <w:i/>
          <w:color w:val="000000"/>
          <w:highlight w:val="yellow"/>
          <w:u w:val="single"/>
        </w:rPr>
        <w:t>Note</w:t>
      </w:r>
      <w:r w:rsidRPr="00BD3DBD">
        <w:rPr>
          <w:rFonts w:ascii="Times New Roman" w:eastAsiaTheme="minorHAnsi" w:hAnsi="Times New Roman" w:cs="Times New Roman"/>
          <w:bCs/>
          <w:color w:val="000000"/>
          <w:highlight w:val="yellow"/>
        </w:rPr>
        <w:t xml:space="preserve">: </w:t>
      </w:r>
      <w:r w:rsidRPr="00BD3DBD">
        <w:rPr>
          <w:rFonts w:ascii="Times New Roman" w:eastAsiaTheme="minorHAnsi" w:hAnsi="Times New Roman" w:cs="Times New Roman"/>
          <w:bCs/>
          <w:i/>
          <w:color w:val="000000"/>
          <w:highlight w:val="yellow"/>
        </w:rPr>
        <w:t>Choose the applicable F&amp;A rate based on project here</w:t>
      </w:r>
      <w:r w:rsidRPr="00BD3DBD">
        <w:rPr>
          <w:rFonts w:ascii="Times New Roman" w:eastAsiaTheme="minorHAnsi" w:hAnsi="Times New Roman" w:cs="Times New Roman"/>
          <w:bCs/>
          <w:color w:val="000000"/>
          <w:highlight w:val="yellow"/>
        </w:rPr>
        <w:t>.</w:t>
      </w:r>
    </w:p>
    <w:p w14:paraId="39CF9429" w14:textId="77777777" w:rsidR="00BD3DBD" w:rsidRDefault="00BD3DBD" w:rsidP="00BD3DBD">
      <w:pPr>
        <w:pStyle w:val="BodyTextIndent2"/>
        <w:ind w:left="0" w:firstLine="0"/>
        <w:rPr>
          <w:rFonts w:ascii="Times New Roman" w:eastAsiaTheme="minorHAnsi" w:hAnsi="Times New Roman" w:cs="Times New Roman"/>
          <w:bCs/>
          <w:color w:val="000000"/>
        </w:rPr>
      </w:pPr>
    </w:p>
    <w:p w14:paraId="51F723FF" w14:textId="0A105D25" w:rsidR="00BD3DBD" w:rsidRPr="002571DF" w:rsidRDefault="00E4696B" w:rsidP="004D314A">
      <w:pPr>
        <w:pStyle w:val="BodyTextIndent2"/>
        <w:ind w:left="0" w:firstLine="0"/>
        <w:rPr>
          <w:rFonts w:eastAsia="Calibri"/>
        </w:rPr>
      </w:pPr>
      <w:r w:rsidRPr="004D314A">
        <w:rPr>
          <w:rFonts w:ascii="Times New Roman" w:hAnsi="Times New Roman" w:cs="Times New Roman"/>
          <w:bCs/>
          <w:color w:val="000000"/>
          <w:u w:val="single"/>
        </w:rPr>
        <w:t>O</w:t>
      </w:r>
      <w:r w:rsidR="00BD3DBD" w:rsidRPr="004D314A">
        <w:rPr>
          <w:rFonts w:ascii="Times New Roman" w:hAnsi="Times New Roman" w:cs="Times New Roman"/>
          <w:bCs/>
          <w:color w:val="000000"/>
          <w:u w:val="single"/>
        </w:rPr>
        <w:t>n</w:t>
      </w:r>
      <w:r w:rsidRPr="004D314A">
        <w:rPr>
          <w:rFonts w:ascii="Times New Roman" w:hAnsi="Times New Roman" w:cs="Times New Roman"/>
          <w:bCs/>
          <w:color w:val="000000"/>
          <w:u w:val="single"/>
        </w:rPr>
        <w:t>-C</w:t>
      </w:r>
      <w:r w:rsidR="00BD3DBD" w:rsidRPr="004D314A">
        <w:rPr>
          <w:rFonts w:ascii="Times New Roman" w:hAnsi="Times New Roman" w:cs="Times New Roman"/>
          <w:bCs/>
          <w:color w:val="000000"/>
          <w:u w:val="single"/>
        </w:rPr>
        <w:t>ampus Organized Research</w:t>
      </w:r>
      <w:r w:rsidR="00BD3DBD" w:rsidRPr="002571DF">
        <w:rPr>
          <w:rFonts w:ascii="Times New Roman" w:hAnsi="Times New Roman" w:cs="Times New Roman"/>
          <w:bCs/>
          <w:color w:val="000000"/>
        </w:rPr>
        <w:t>:</w:t>
      </w:r>
    </w:p>
    <w:p w14:paraId="112CC6BB" w14:textId="77777777" w:rsidR="00BD3DBD" w:rsidRPr="002571DF" w:rsidRDefault="00BD3DBD" w:rsidP="00BD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b/>
          <w:bCs/>
          <w:color w:val="000000"/>
        </w:rPr>
      </w:pPr>
      <w:r>
        <w:rPr>
          <w:rFonts w:eastAsia="Calibri"/>
          <w:bCs/>
          <w:color w:val="000000"/>
        </w:rPr>
        <w:t>52.5% MTDC until 6/30/19</w:t>
      </w:r>
    </w:p>
    <w:p w14:paraId="7DD0A648" w14:textId="77777777" w:rsidR="00BD3DBD" w:rsidRPr="002571DF" w:rsidRDefault="00BD3DBD" w:rsidP="00BD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b/>
          <w:bCs/>
          <w:color w:val="000000"/>
        </w:rPr>
      </w:pPr>
      <w:r>
        <w:rPr>
          <w:rFonts w:eastAsia="Calibri"/>
          <w:bCs/>
          <w:color w:val="000000"/>
        </w:rPr>
        <w:t>53% MTDC from 7/01/19 to 6/30/20</w:t>
      </w:r>
    </w:p>
    <w:p w14:paraId="48881AC2" w14:textId="77777777" w:rsidR="00BD3DBD" w:rsidRPr="002571DF" w:rsidRDefault="00BD3DBD" w:rsidP="00BD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color w:val="000000"/>
        </w:rPr>
      </w:pPr>
      <w:r w:rsidRPr="002571DF">
        <w:rPr>
          <w:rFonts w:eastAsia="Calibri"/>
          <w:bCs/>
          <w:color w:val="000000"/>
        </w:rPr>
        <w:t>50.5% MTDC after 7/01/14</w:t>
      </w:r>
    </w:p>
    <w:p w14:paraId="28774F08" w14:textId="77777777" w:rsidR="00BD3DBD" w:rsidRDefault="00BD3DBD"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Pr>
          <w:bCs/>
          <w:color w:val="000000"/>
        </w:rPr>
        <w:t>*The off-campus rate is 26% through 6/30/20*</w:t>
      </w:r>
    </w:p>
    <w:p w14:paraId="041FB57C" w14:textId="77777777" w:rsidR="00BD3DBD" w:rsidRDefault="00BD3DBD"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p>
    <w:p w14:paraId="4A2471D1" w14:textId="03A91ED4" w:rsidR="00BD3DBD" w:rsidRDefault="00E4696B" w:rsidP="004D314A">
      <w:pPr>
        <w:pStyle w:val="BodyTextIndent2"/>
        <w:ind w:left="0" w:firstLine="0"/>
      </w:pPr>
      <w:r w:rsidRPr="004D314A">
        <w:rPr>
          <w:rFonts w:ascii="Times New Roman" w:hAnsi="Times New Roman" w:cs="Times New Roman"/>
          <w:bCs/>
          <w:color w:val="000000"/>
          <w:u w:val="single"/>
        </w:rPr>
        <w:t>O</w:t>
      </w:r>
      <w:r w:rsidR="00BD3DBD" w:rsidRPr="004D314A">
        <w:rPr>
          <w:rFonts w:ascii="Times New Roman" w:hAnsi="Times New Roman" w:cs="Times New Roman"/>
          <w:bCs/>
          <w:color w:val="000000"/>
          <w:u w:val="single"/>
        </w:rPr>
        <w:t>n</w:t>
      </w:r>
      <w:r w:rsidRPr="004D314A">
        <w:rPr>
          <w:rFonts w:ascii="Times New Roman" w:hAnsi="Times New Roman" w:cs="Times New Roman"/>
          <w:bCs/>
          <w:color w:val="000000"/>
          <w:u w:val="single"/>
        </w:rPr>
        <w:t>-C</w:t>
      </w:r>
      <w:r w:rsidR="00BD3DBD" w:rsidRPr="004D314A">
        <w:rPr>
          <w:rFonts w:ascii="Times New Roman" w:hAnsi="Times New Roman" w:cs="Times New Roman"/>
          <w:bCs/>
          <w:color w:val="000000"/>
          <w:u w:val="single"/>
        </w:rPr>
        <w:t>ampus Other Sponsored Activity</w:t>
      </w:r>
      <w:r w:rsidR="00BD3DBD" w:rsidRPr="002571DF">
        <w:rPr>
          <w:rFonts w:ascii="Times New Roman" w:hAnsi="Times New Roman" w:cs="Times New Roman"/>
          <w:bCs/>
          <w:color w:val="000000"/>
        </w:rPr>
        <w:t>:</w:t>
      </w:r>
    </w:p>
    <w:p w14:paraId="732F468C" w14:textId="77777777" w:rsidR="00BD3DBD" w:rsidRDefault="00BD3DBD"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Pr>
          <w:bCs/>
          <w:color w:val="000000"/>
        </w:rPr>
        <w:t>28% until 6/30/20</w:t>
      </w:r>
    </w:p>
    <w:p w14:paraId="77B27113" w14:textId="77777777" w:rsidR="00BD3DBD" w:rsidRDefault="00BD3DBD"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Pr>
          <w:bCs/>
          <w:color w:val="000000"/>
        </w:rPr>
        <w:t>*The off-campus rate is 22% until 6/30/20*</w:t>
      </w:r>
    </w:p>
    <w:p w14:paraId="13A8EECD" w14:textId="77777777" w:rsidR="00BD3DBD" w:rsidRDefault="00BD3DBD"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p>
    <w:p w14:paraId="13C76EFE" w14:textId="64F9B421" w:rsidR="004D314A" w:rsidRDefault="00E4696B" w:rsidP="00BD3DBD">
      <w:pPr>
        <w:pStyle w:val="BodyTextIndent2"/>
        <w:ind w:left="0" w:firstLine="0"/>
        <w:rPr>
          <w:rFonts w:ascii="Times New Roman" w:hAnsi="Times New Roman" w:cs="Times New Roman"/>
          <w:bCs/>
          <w:color w:val="000000"/>
        </w:rPr>
      </w:pPr>
      <w:r w:rsidRPr="004D314A">
        <w:rPr>
          <w:rFonts w:ascii="Times New Roman" w:hAnsi="Times New Roman" w:cs="Times New Roman"/>
          <w:bCs/>
          <w:color w:val="000000"/>
          <w:u w:val="single"/>
        </w:rPr>
        <w:t>O</w:t>
      </w:r>
      <w:r w:rsidR="00BD3DBD" w:rsidRPr="004D314A">
        <w:rPr>
          <w:rFonts w:ascii="Times New Roman" w:hAnsi="Times New Roman" w:cs="Times New Roman"/>
          <w:bCs/>
          <w:color w:val="000000"/>
          <w:u w:val="single"/>
        </w:rPr>
        <w:t>n</w:t>
      </w:r>
      <w:r w:rsidRPr="004D314A">
        <w:rPr>
          <w:rFonts w:ascii="Times New Roman" w:hAnsi="Times New Roman" w:cs="Times New Roman"/>
          <w:bCs/>
          <w:color w:val="000000"/>
          <w:u w:val="single"/>
        </w:rPr>
        <w:t>-C</w:t>
      </w:r>
      <w:r w:rsidR="00BD3DBD" w:rsidRPr="004D314A">
        <w:rPr>
          <w:rFonts w:ascii="Times New Roman" w:hAnsi="Times New Roman" w:cs="Times New Roman"/>
          <w:bCs/>
          <w:color w:val="000000"/>
          <w:u w:val="single"/>
        </w:rPr>
        <w:t>ampus Instruction</w:t>
      </w:r>
      <w:r w:rsidR="00BD3DBD" w:rsidRPr="002571DF">
        <w:rPr>
          <w:rFonts w:ascii="Times New Roman" w:hAnsi="Times New Roman" w:cs="Times New Roman"/>
          <w:bCs/>
          <w:color w:val="000000"/>
        </w:rPr>
        <w:t>:</w:t>
      </w:r>
    </w:p>
    <w:p w14:paraId="24630243" w14:textId="77777777" w:rsidR="00BD3DBD" w:rsidRPr="002571DF" w:rsidRDefault="00BD3DBD" w:rsidP="00BD3DBD">
      <w:pPr>
        <w:pStyle w:val="BodyTextIndent2"/>
        <w:ind w:left="0" w:firstLine="0"/>
        <w:rPr>
          <w:rFonts w:ascii="Times New Roman" w:hAnsi="Times New Roman" w:cs="Times New Roman"/>
          <w:bCs/>
          <w:color w:val="000000"/>
        </w:rPr>
      </w:pPr>
      <w:r>
        <w:rPr>
          <w:rFonts w:ascii="Times New Roman" w:hAnsi="Times New Roman" w:cs="Times New Roman"/>
          <w:bCs/>
          <w:color w:val="000000"/>
        </w:rPr>
        <w:t>55% until 6/30/20</w:t>
      </w:r>
    </w:p>
    <w:p w14:paraId="055A938B" w14:textId="77777777" w:rsidR="00BD3DBD" w:rsidRDefault="00BD3DBD" w:rsidP="00BD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Pr>
          <w:bCs/>
          <w:color w:val="000000"/>
        </w:rPr>
        <w:t>*The off-campus rate is 26% through 6/30/20*</w:t>
      </w:r>
    </w:p>
    <w:p w14:paraId="01D3B1B5" w14:textId="77777777" w:rsidR="00BD79A0" w:rsidRDefault="00BD79A0" w:rsidP="00BD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p>
    <w:p w14:paraId="58F88141" w14:textId="20D53B13" w:rsidR="00BD79A0" w:rsidRDefault="00174E38" w:rsidP="00BD7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rPr>
      </w:pPr>
      <w:r w:rsidRPr="00174E38">
        <w:rPr>
          <w:rFonts w:eastAsia="Times New Roman"/>
        </w:rPr>
        <w:t>If a project year incorporates more than one rate</w:t>
      </w:r>
      <w:r>
        <w:rPr>
          <w:rFonts w:eastAsia="Times New Roman"/>
        </w:rPr>
        <w:t>,</w:t>
      </w:r>
      <w:r w:rsidRPr="00174E38">
        <w:rPr>
          <w:rFonts w:eastAsia="Times New Roman"/>
        </w:rPr>
        <w:t xml:space="preserve"> F&amp;A recovery is calculated on a prorated basis </w:t>
      </w:r>
      <w:bookmarkStart w:id="0" w:name="_GoBack"/>
      <w:r w:rsidRPr="00174E38">
        <w:rPr>
          <w:rFonts w:eastAsia="Times New Roman"/>
        </w:rPr>
        <w:t>with the rate reflecting the date of the NICRA change.</w:t>
      </w:r>
    </w:p>
    <w:bookmarkEnd w:id="0"/>
    <w:p w14:paraId="3EFD91F5" w14:textId="77777777" w:rsidR="00174E38" w:rsidRDefault="00174E38" w:rsidP="00BD7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color w:val="000000"/>
        </w:rPr>
      </w:pPr>
    </w:p>
    <w:p w14:paraId="62DD20AA" w14:textId="1BD80A50" w:rsidR="008D06C4" w:rsidRDefault="008D06C4" w:rsidP="008D06C4">
      <w:pPr>
        <w:pStyle w:val="BodyTextIndent2"/>
        <w:ind w:left="0" w:firstLine="0"/>
        <w:jc w:val="center"/>
        <w:rPr>
          <w:rFonts w:ascii="Times New Roman" w:eastAsiaTheme="minorHAnsi" w:hAnsi="Times New Roman" w:cs="Times New Roman"/>
          <w:bCs/>
          <w:color w:val="000000"/>
        </w:rPr>
      </w:pPr>
      <w:r w:rsidRPr="00E4696B">
        <w:rPr>
          <w:rFonts w:ascii="Times New Roman" w:eastAsiaTheme="minorHAnsi" w:hAnsi="Times New Roman" w:cs="Times New Roman"/>
          <w:b/>
          <w:bCs/>
          <w:i/>
          <w:color w:val="000000"/>
          <w:highlight w:val="yellow"/>
          <w:u w:val="single"/>
        </w:rPr>
        <w:t>Note</w:t>
      </w:r>
      <w:r w:rsidRPr="00BD3DBD">
        <w:rPr>
          <w:rFonts w:ascii="Times New Roman" w:eastAsiaTheme="minorHAnsi" w:hAnsi="Times New Roman" w:cs="Times New Roman"/>
          <w:bCs/>
          <w:color w:val="000000"/>
          <w:highlight w:val="yellow"/>
        </w:rPr>
        <w:t xml:space="preserve">: </w:t>
      </w:r>
      <w:r>
        <w:rPr>
          <w:rFonts w:ascii="Times New Roman" w:eastAsiaTheme="minorHAnsi" w:hAnsi="Times New Roman" w:cs="Times New Roman"/>
          <w:bCs/>
          <w:i/>
          <w:color w:val="000000"/>
          <w:highlight w:val="yellow"/>
        </w:rPr>
        <w:t xml:space="preserve">If F &amp;A Rate is applicable to </w:t>
      </w:r>
      <w:r w:rsidRPr="008D06C4">
        <w:rPr>
          <w:rFonts w:ascii="Times New Roman" w:eastAsiaTheme="minorHAnsi" w:hAnsi="Times New Roman" w:cs="Times New Roman"/>
          <w:b/>
          <w:bCs/>
          <w:i/>
          <w:color w:val="000000"/>
          <w:highlight w:val="yellow"/>
        </w:rPr>
        <w:t>Total Direct Costs</w:t>
      </w:r>
      <w:r>
        <w:rPr>
          <w:rFonts w:ascii="Times New Roman" w:eastAsiaTheme="minorHAnsi" w:hAnsi="Times New Roman" w:cs="Times New Roman"/>
          <w:bCs/>
          <w:i/>
          <w:color w:val="000000"/>
          <w:highlight w:val="yellow"/>
        </w:rPr>
        <w:t>, please select/use the following</w:t>
      </w:r>
      <w:r>
        <w:rPr>
          <w:rFonts w:ascii="Times New Roman" w:eastAsiaTheme="minorHAnsi" w:hAnsi="Times New Roman" w:cs="Times New Roman"/>
          <w:bCs/>
          <w:color w:val="000000"/>
        </w:rPr>
        <w:t>:</w:t>
      </w:r>
    </w:p>
    <w:p w14:paraId="1D1609E8" w14:textId="77777777" w:rsidR="008D06C4" w:rsidRDefault="008D06C4" w:rsidP="008D06C4">
      <w:pPr>
        <w:pStyle w:val="BodyTextIndent2"/>
        <w:ind w:left="0" w:firstLine="0"/>
        <w:jc w:val="center"/>
        <w:rPr>
          <w:rFonts w:ascii="Times New Roman" w:eastAsiaTheme="minorHAnsi" w:hAnsi="Times New Roman" w:cs="Times New Roman"/>
          <w:bCs/>
          <w:color w:val="000000"/>
        </w:rPr>
      </w:pPr>
    </w:p>
    <w:p w14:paraId="583B1550" w14:textId="77777777" w:rsidR="008D06C4" w:rsidRPr="00CE4294" w:rsidRDefault="008D06C4" w:rsidP="008D06C4">
      <w:pPr>
        <w:spacing w:after="0" w:line="240" w:lineRule="auto"/>
        <w:rPr>
          <w:rFonts w:eastAsia="Times New Roman"/>
        </w:rPr>
      </w:pPr>
      <w:r>
        <w:rPr>
          <w:rFonts w:eastAsia="Times New Roman"/>
        </w:rPr>
        <w:t>These F&amp;A rates apply to Total D</w:t>
      </w:r>
      <w:r w:rsidRPr="001F7EE4">
        <w:rPr>
          <w:rFonts w:eastAsia="Times New Roman"/>
        </w:rPr>
        <w:t>ir</w:t>
      </w:r>
      <w:r>
        <w:rPr>
          <w:rFonts w:eastAsia="Times New Roman"/>
        </w:rPr>
        <w:t>ect C</w:t>
      </w:r>
      <w:r w:rsidRPr="001F7EE4">
        <w:rPr>
          <w:rFonts w:eastAsia="Times New Roman"/>
        </w:rPr>
        <w:t>osts</w:t>
      </w:r>
      <w:r>
        <w:rPr>
          <w:rFonts w:eastAsia="Times New Roman"/>
        </w:rPr>
        <w:t xml:space="preserve"> (TDC)</w:t>
      </w:r>
      <w:r w:rsidRPr="001F7EE4">
        <w:rPr>
          <w:rFonts w:eastAsia="Times New Roman"/>
        </w:rPr>
        <w:t xml:space="preserve">, consisting of all direct salaries and wages, applicable fringe benefits, material and supplies, service, travel and up the first $25,000 of each </w:t>
      </w:r>
      <w:proofErr w:type="spellStart"/>
      <w:r w:rsidRPr="001F7EE4">
        <w:rPr>
          <w:rFonts w:eastAsia="Times New Roman"/>
        </w:rPr>
        <w:t>subaward</w:t>
      </w:r>
      <w:proofErr w:type="spellEnd"/>
      <w:r w:rsidRPr="001F7EE4">
        <w:rPr>
          <w:rFonts w:eastAsia="Times New Roman"/>
        </w:rPr>
        <w:t xml:space="preserve"> </w:t>
      </w:r>
      <w:r w:rsidRPr="00CE4294">
        <w:rPr>
          <w:rFonts w:eastAsia="Times New Roman"/>
        </w:rPr>
        <w:t>(reg</w:t>
      </w:r>
      <w:r w:rsidRPr="001F7EE4">
        <w:rPr>
          <w:rFonts w:eastAsia="Times New Roman"/>
        </w:rPr>
        <w:t xml:space="preserve">ardless of the period of performance of the subawards under the award). </w:t>
      </w:r>
    </w:p>
    <w:p w14:paraId="6DAD8C0E" w14:textId="77777777" w:rsidR="008D06C4" w:rsidRDefault="008D06C4" w:rsidP="008D06C4">
      <w:pPr>
        <w:pStyle w:val="BodyTextIndent2"/>
        <w:ind w:left="0" w:firstLine="0"/>
        <w:jc w:val="center"/>
        <w:rPr>
          <w:rFonts w:ascii="Times New Roman" w:eastAsiaTheme="minorHAnsi" w:hAnsi="Times New Roman" w:cs="Times New Roman"/>
          <w:b/>
          <w:bCs/>
          <w:i/>
          <w:color w:val="000000"/>
          <w:highlight w:val="yellow"/>
          <w:u w:val="single"/>
        </w:rPr>
      </w:pPr>
    </w:p>
    <w:p w14:paraId="35E2E7CD" w14:textId="181A0B3A" w:rsidR="008D06C4" w:rsidRDefault="008D06C4" w:rsidP="008D06C4">
      <w:pPr>
        <w:pStyle w:val="BodyTextIndent2"/>
        <w:ind w:left="0" w:firstLine="0"/>
        <w:rPr>
          <w:rFonts w:ascii="Times New Roman" w:eastAsiaTheme="minorHAnsi" w:hAnsi="Times New Roman" w:cs="Times New Roman"/>
          <w:bCs/>
          <w:color w:val="000000"/>
        </w:rPr>
      </w:pPr>
      <w:r w:rsidRPr="00E4696B">
        <w:rPr>
          <w:rFonts w:ascii="Times New Roman" w:eastAsiaTheme="minorHAnsi" w:hAnsi="Times New Roman" w:cs="Times New Roman"/>
          <w:b/>
          <w:bCs/>
          <w:i/>
          <w:color w:val="000000"/>
          <w:highlight w:val="yellow"/>
          <w:u w:val="single"/>
        </w:rPr>
        <w:t>Note</w:t>
      </w:r>
      <w:r w:rsidRPr="00BD3DBD">
        <w:rPr>
          <w:rFonts w:ascii="Times New Roman" w:eastAsiaTheme="minorHAnsi" w:hAnsi="Times New Roman" w:cs="Times New Roman"/>
          <w:bCs/>
          <w:color w:val="000000"/>
          <w:highlight w:val="yellow"/>
        </w:rPr>
        <w:t xml:space="preserve">: </w:t>
      </w:r>
      <w:r>
        <w:rPr>
          <w:rFonts w:ascii="Times New Roman" w:eastAsiaTheme="minorHAnsi" w:hAnsi="Times New Roman" w:cs="Times New Roman"/>
          <w:bCs/>
          <w:i/>
          <w:color w:val="000000"/>
          <w:highlight w:val="yellow"/>
        </w:rPr>
        <w:t xml:space="preserve">If F &amp;A Rate is applicable to </w:t>
      </w:r>
      <w:r w:rsidRPr="008D06C4">
        <w:rPr>
          <w:rFonts w:ascii="Times New Roman" w:eastAsiaTheme="minorHAnsi" w:hAnsi="Times New Roman" w:cs="Times New Roman"/>
          <w:b/>
          <w:bCs/>
          <w:i/>
          <w:color w:val="000000"/>
          <w:highlight w:val="yellow"/>
        </w:rPr>
        <w:t>Modified Total Direct Costs</w:t>
      </w:r>
      <w:r>
        <w:rPr>
          <w:rFonts w:ascii="Times New Roman" w:eastAsiaTheme="minorHAnsi" w:hAnsi="Times New Roman" w:cs="Times New Roman"/>
          <w:bCs/>
          <w:i/>
          <w:color w:val="000000"/>
          <w:highlight w:val="yellow"/>
        </w:rPr>
        <w:t>, please select/use the following</w:t>
      </w:r>
      <w:r w:rsidRPr="008D06C4">
        <w:rPr>
          <w:rFonts w:ascii="Times New Roman" w:eastAsiaTheme="minorHAnsi" w:hAnsi="Times New Roman" w:cs="Times New Roman"/>
          <w:bCs/>
          <w:color w:val="000000"/>
          <w:highlight w:val="yellow"/>
        </w:rPr>
        <w:t>:</w:t>
      </w:r>
    </w:p>
    <w:p w14:paraId="5CE380E8" w14:textId="77777777" w:rsidR="008D06C4" w:rsidRPr="008D06C4" w:rsidRDefault="008D06C4" w:rsidP="008D06C4">
      <w:pPr>
        <w:pStyle w:val="BodyTextIndent2"/>
        <w:ind w:left="0" w:firstLine="0"/>
        <w:jc w:val="center"/>
        <w:rPr>
          <w:rFonts w:ascii="Times New Roman" w:eastAsiaTheme="minorHAnsi" w:hAnsi="Times New Roman" w:cs="Times New Roman"/>
          <w:bCs/>
          <w:color w:val="000000"/>
        </w:rPr>
      </w:pPr>
    </w:p>
    <w:p w14:paraId="1ED53187" w14:textId="77777777" w:rsidR="008D06C4" w:rsidRDefault="008D06C4" w:rsidP="008D0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bCs/>
          <w:color w:val="000000"/>
        </w:rPr>
      </w:pPr>
      <w:r w:rsidRPr="00840143">
        <w:rPr>
          <w:rFonts w:eastAsia="Calibri"/>
          <w:bCs/>
          <w:color w:val="000000"/>
        </w:rPr>
        <w:t xml:space="preserve">Modified Total Direct Costs </w:t>
      </w:r>
      <w:r>
        <w:rPr>
          <w:rFonts w:eastAsia="Calibri"/>
          <w:bCs/>
          <w:color w:val="000000"/>
        </w:rPr>
        <w:t xml:space="preserve">(MTDC) means that the F&amp;A rate is not applied to </w:t>
      </w:r>
      <w:r w:rsidRPr="00840143">
        <w:rPr>
          <w:rFonts w:eastAsia="Calibri"/>
          <w:bCs/>
          <w:color w:val="000000"/>
        </w:rPr>
        <w:t xml:space="preserve">tuition, equipment over $5,000, participant support costs, rental costs, scholarships &amp; fellowships, and the cost of subawards over $25,000. </w:t>
      </w:r>
    </w:p>
    <w:p w14:paraId="701BC5C7" w14:textId="77777777" w:rsidR="00940DAA" w:rsidRDefault="00940DAA"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bCs/>
          <w:color w:val="000000"/>
        </w:rPr>
      </w:pPr>
    </w:p>
    <w:p w14:paraId="1090BE0F" w14:textId="77777777" w:rsidR="008D06C4" w:rsidRDefault="008D06C4"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bCs/>
          <w:color w:val="000000"/>
        </w:rPr>
      </w:pPr>
    </w:p>
    <w:p w14:paraId="76ADF91E" w14:textId="3B0FCB66" w:rsidR="00941A34" w:rsidRPr="00BD79A0" w:rsidRDefault="00941A34" w:rsidP="00BD7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color w:val="000000"/>
        </w:rPr>
      </w:pPr>
      <w:r w:rsidRPr="00840143">
        <w:rPr>
          <w:rFonts w:eastAsia="Times New Roman"/>
          <w:color w:val="000000"/>
        </w:rPr>
        <w:t xml:space="preserve">Any reduction in the </w:t>
      </w:r>
      <w:r w:rsidR="00940DAA">
        <w:rPr>
          <w:rFonts w:eastAsia="Times New Roman"/>
          <w:color w:val="000000"/>
        </w:rPr>
        <w:t xml:space="preserve">rates outlined in the </w:t>
      </w:r>
      <w:r w:rsidR="00BD79A0">
        <w:rPr>
          <w:rFonts w:eastAsia="Times New Roman"/>
          <w:color w:val="000000"/>
        </w:rPr>
        <w:t>F&amp;a</w:t>
      </w:r>
      <w:r w:rsidR="00940DAA">
        <w:rPr>
          <w:rFonts w:eastAsia="Times New Roman"/>
          <w:color w:val="000000"/>
        </w:rPr>
        <w:t xml:space="preserve"> Rate Agreement are</w:t>
      </w:r>
      <w:r w:rsidRPr="00840143">
        <w:rPr>
          <w:rFonts w:eastAsia="Times New Roman"/>
          <w:color w:val="000000"/>
        </w:rPr>
        <w:t xml:space="preserve"> considered cost sharing, and UMBC must recover</w:t>
      </w:r>
      <w:r w:rsidR="00BD79A0">
        <w:rPr>
          <w:rFonts w:eastAsia="Times New Roman"/>
          <w:color w:val="000000"/>
        </w:rPr>
        <w:t xml:space="preserve"> those costs from other sources.</w:t>
      </w:r>
    </w:p>
    <w:sectPr w:rsidR="00941A34" w:rsidRPr="00BD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92"/>
    <w:rsid w:val="00060524"/>
    <w:rsid w:val="00174E38"/>
    <w:rsid w:val="00376A0C"/>
    <w:rsid w:val="003E7E0E"/>
    <w:rsid w:val="003F2392"/>
    <w:rsid w:val="004D314A"/>
    <w:rsid w:val="004D4B7E"/>
    <w:rsid w:val="00557755"/>
    <w:rsid w:val="0056324E"/>
    <w:rsid w:val="00814CAA"/>
    <w:rsid w:val="00840143"/>
    <w:rsid w:val="008D06C4"/>
    <w:rsid w:val="00940DAA"/>
    <w:rsid w:val="00941A34"/>
    <w:rsid w:val="009F0267"/>
    <w:rsid w:val="00A82C0E"/>
    <w:rsid w:val="00BD3DBD"/>
    <w:rsid w:val="00BD79A0"/>
    <w:rsid w:val="00CD7A6F"/>
    <w:rsid w:val="00CE4294"/>
    <w:rsid w:val="00D10F78"/>
    <w:rsid w:val="00E4696B"/>
    <w:rsid w:val="00E528D8"/>
    <w:rsid w:val="00E861B8"/>
    <w:rsid w:val="00E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414B"/>
  <w15:docId w15:val="{EF2DF753-6AFD-4875-B49B-3EDCE903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3F2392"/>
    <w:pPr>
      <w:spacing w:after="0" w:line="240" w:lineRule="auto"/>
      <w:ind w:left="2160" w:hanging="2160"/>
    </w:pPr>
    <w:rPr>
      <w:rFonts w:ascii="Arial" w:eastAsia="Times New Roman" w:hAnsi="Arial" w:cs="Arial"/>
    </w:rPr>
  </w:style>
  <w:style w:type="character" w:customStyle="1" w:styleId="BodyTextIndent2Char">
    <w:name w:val="Body Text Indent 2 Char"/>
    <w:basedOn w:val="DefaultParagraphFont"/>
    <w:link w:val="BodyTextIndent2"/>
    <w:rsid w:val="003F2392"/>
    <w:rPr>
      <w:rFonts w:ascii="Arial" w:eastAsia="Times New Roman" w:hAnsi="Arial" w:cs="Arial"/>
    </w:rPr>
  </w:style>
  <w:style w:type="paragraph" w:styleId="BalloonText">
    <w:name w:val="Balloon Text"/>
    <w:basedOn w:val="Normal"/>
    <w:link w:val="BalloonTextChar"/>
    <w:uiPriority w:val="99"/>
    <w:semiHidden/>
    <w:unhideWhenUsed/>
    <w:rsid w:val="00BD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DBD"/>
    <w:rPr>
      <w:rFonts w:ascii="Tahoma" w:hAnsi="Tahoma" w:cs="Tahoma"/>
      <w:sz w:val="16"/>
      <w:szCs w:val="16"/>
    </w:rPr>
  </w:style>
  <w:style w:type="character" w:styleId="CommentReference">
    <w:name w:val="annotation reference"/>
    <w:basedOn w:val="DefaultParagraphFont"/>
    <w:uiPriority w:val="99"/>
    <w:semiHidden/>
    <w:unhideWhenUsed/>
    <w:rsid w:val="00E528D8"/>
    <w:rPr>
      <w:sz w:val="16"/>
      <w:szCs w:val="16"/>
    </w:rPr>
  </w:style>
  <w:style w:type="paragraph" w:styleId="CommentText">
    <w:name w:val="annotation text"/>
    <w:basedOn w:val="Normal"/>
    <w:link w:val="CommentTextChar"/>
    <w:uiPriority w:val="99"/>
    <w:semiHidden/>
    <w:unhideWhenUsed/>
    <w:rsid w:val="00E528D8"/>
    <w:pPr>
      <w:spacing w:line="240" w:lineRule="auto"/>
    </w:pPr>
    <w:rPr>
      <w:sz w:val="20"/>
      <w:szCs w:val="20"/>
    </w:rPr>
  </w:style>
  <w:style w:type="character" w:customStyle="1" w:styleId="CommentTextChar">
    <w:name w:val="Comment Text Char"/>
    <w:basedOn w:val="DefaultParagraphFont"/>
    <w:link w:val="CommentText"/>
    <w:uiPriority w:val="99"/>
    <w:semiHidden/>
    <w:rsid w:val="00E528D8"/>
    <w:rPr>
      <w:sz w:val="20"/>
      <w:szCs w:val="20"/>
    </w:rPr>
  </w:style>
  <w:style w:type="paragraph" w:styleId="CommentSubject">
    <w:name w:val="annotation subject"/>
    <w:basedOn w:val="CommentText"/>
    <w:next w:val="CommentText"/>
    <w:link w:val="CommentSubjectChar"/>
    <w:uiPriority w:val="99"/>
    <w:semiHidden/>
    <w:unhideWhenUsed/>
    <w:rsid w:val="00E528D8"/>
    <w:rPr>
      <w:b/>
      <w:bCs/>
    </w:rPr>
  </w:style>
  <w:style w:type="character" w:customStyle="1" w:styleId="CommentSubjectChar">
    <w:name w:val="Comment Subject Char"/>
    <w:basedOn w:val="CommentTextChar"/>
    <w:link w:val="CommentSubject"/>
    <w:uiPriority w:val="99"/>
    <w:semiHidden/>
    <w:rsid w:val="00E52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1360">
      <w:bodyDiv w:val="1"/>
      <w:marLeft w:val="0"/>
      <w:marRight w:val="0"/>
      <w:marTop w:val="0"/>
      <w:marBottom w:val="0"/>
      <w:divBdr>
        <w:top w:val="none" w:sz="0" w:space="0" w:color="auto"/>
        <w:left w:val="none" w:sz="0" w:space="0" w:color="auto"/>
        <w:bottom w:val="none" w:sz="0" w:space="0" w:color="auto"/>
        <w:right w:val="none" w:sz="0" w:space="0" w:color="auto"/>
      </w:divBdr>
      <w:divsChild>
        <w:div w:id="1112281289">
          <w:marLeft w:val="0"/>
          <w:marRight w:val="0"/>
          <w:marTop w:val="0"/>
          <w:marBottom w:val="0"/>
          <w:divBdr>
            <w:top w:val="none" w:sz="0" w:space="0" w:color="auto"/>
            <w:left w:val="none" w:sz="0" w:space="0" w:color="auto"/>
            <w:bottom w:val="none" w:sz="0" w:space="0" w:color="auto"/>
            <w:right w:val="none" w:sz="0" w:space="0" w:color="auto"/>
          </w:divBdr>
        </w:div>
        <w:div w:id="241450379">
          <w:marLeft w:val="0"/>
          <w:marRight w:val="0"/>
          <w:marTop w:val="0"/>
          <w:marBottom w:val="0"/>
          <w:divBdr>
            <w:top w:val="none" w:sz="0" w:space="0" w:color="auto"/>
            <w:left w:val="none" w:sz="0" w:space="0" w:color="auto"/>
            <w:bottom w:val="none" w:sz="0" w:space="0" w:color="auto"/>
            <w:right w:val="none" w:sz="0" w:space="0" w:color="auto"/>
          </w:divBdr>
        </w:div>
        <w:div w:id="611203770">
          <w:marLeft w:val="0"/>
          <w:marRight w:val="0"/>
          <w:marTop w:val="0"/>
          <w:marBottom w:val="0"/>
          <w:divBdr>
            <w:top w:val="none" w:sz="0" w:space="0" w:color="auto"/>
            <w:left w:val="none" w:sz="0" w:space="0" w:color="auto"/>
            <w:bottom w:val="none" w:sz="0" w:space="0" w:color="auto"/>
            <w:right w:val="none" w:sz="0" w:space="0" w:color="auto"/>
          </w:divBdr>
        </w:div>
        <w:div w:id="2071541505">
          <w:marLeft w:val="0"/>
          <w:marRight w:val="0"/>
          <w:marTop w:val="0"/>
          <w:marBottom w:val="0"/>
          <w:divBdr>
            <w:top w:val="none" w:sz="0" w:space="0" w:color="auto"/>
            <w:left w:val="none" w:sz="0" w:space="0" w:color="auto"/>
            <w:bottom w:val="none" w:sz="0" w:space="0" w:color="auto"/>
            <w:right w:val="none" w:sz="0" w:space="0" w:color="auto"/>
          </w:divBdr>
        </w:div>
        <w:div w:id="1163620051">
          <w:marLeft w:val="0"/>
          <w:marRight w:val="0"/>
          <w:marTop w:val="0"/>
          <w:marBottom w:val="0"/>
          <w:divBdr>
            <w:top w:val="none" w:sz="0" w:space="0" w:color="auto"/>
            <w:left w:val="none" w:sz="0" w:space="0" w:color="auto"/>
            <w:bottom w:val="none" w:sz="0" w:space="0" w:color="auto"/>
            <w:right w:val="none" w:sz="0" w:space="0" w:color="auto"/>
          </w:divBdr>
        </w:div>
        <w:div w:id="724835163">
          <w:marLeft w:val="0"/>
          <w:marRight w:val="0"/>
          <w:marTop w:val="0"/>
          <w:marBottom w:val="0"/>
          <w:divBdr>
            <w:top w:val="none" w:sz="0" w:space="0" w:color="auto"/>
            <w:left w:val="none" w:sz="0" w:space="0" w:color="auto"/>
            <w:bottom w:val="none" w:sz="0" w:space="0" w:color="auto"/>
            <w:right w:val="none" w:sz="0" w:space="0" w:color="auto"/>
          </w:divBdr>
        </w:div>
        <w:div w:id="349525039">
          <w:marLeft w:val="0"/>
          <w:marRight w:val="0"/>
          <w:marTop w:val="0"/>
          <w:marBottom w:val="0"/>
          <w:divBdr>
            <w:top w:val="none" w:sz="0" w:space="0" w:color="auto"/>
            <w:left w:val="none" w:sz="0" w:space="0" w:color="auto"/>
            <w:bottom w:val="none" w:sz="0" w:space="0" w:color="auto"/>
            <w:right w:val="none" w:sz="0" w:space="0" w:color="auto"/>
          </w:divBdr>
        </w:div>
        <w:div w:id="871650225">
          <w:marLeft w:val="0"/>
          <w:marRight w:val="0"/>
          <w:marTop w:val="0"/>
          <w:marBottom w:val="0"/>
          <w:divBdr>
            <w:top w:val="none" w:sz="0" w:space="0" w:color="auto"/>
            <w:left w:val="none" w:sz="0" w:space="0" w:color="auto"/>
            <w:bottom w:val="none" w:sz="0" w:space="0" w:color="auto"/>
            <w:right w:val="none" w:sz="0" w:space="0" w:color="auto"/>
          </w:divBdr>
        </w:div>
        <w:div w:id="1631401749">
          <w:marLeft w:val="0"/>
          <w:marRight w:val="0"/>
          <w:marTop w:val="0"/>
          <w:marBottom w:val="0"/>
          <w:divBdr>
            <w:top w:val="none" w:sz="0" w:space="0" w:color="auto"/>
            <w:left w:val="none" w:sz="0" w:space="0" w:color="auto"/>
            <w:bottom w:val="none" w:sz="0" w:space="0" w:color="auto"/>
            <w:right w:val="none" w:sz="0" w:space="0" w:color="auto"/>
          </w:divBdr>
        </w:div>
        <w:div w:id="694310016">
          <w:marLeft w:val="0"/>
          <w:marRight w:val="0"/>
          <w:marTop w:val="0"/>
          <w:marBottom w:val="0"/>
          <w:divBdr>
            <w:top w:val="none" w:sz="0" w:space="0" w:color="auto"/>
            <w:left w:val="none" w:sz="0" w:space="0" w:color="auto"/>
            <w:bottom w:val="none" w:sz="0" w:space="0" w:color="auto"/>
            <w:right w:val="none" w:sz="0" w:space="0" w:color="auto"/>
          </w:divBdr>
        </w:div>
        <w:div w:id="1392533731">
          <w:marLeft w:val="0"/>
          <w:marRight w:val="0"/>
          <w:marTop w:val="0"/>
          <w:marBottom w:val="0"/>
          <w:divBdr>
            <w:top w:val="none" w:sz="0" w:space="0" w:color="auto"/>
            <w:left w:val="none" w:sz="0" w:space="0" w:color="auto"/>
            <w:bottom w:val="none" w:sz="0" w:space="0" w:color="auto"/>
            <w:right w:val="none" w:sz="0" w:space="0" w:color="auto"/>
          </w:divBdr>
        </w:div>
        <w:div w:id="2034454426">
          <w:marLeft w:val="0"/>
          <w:marRight w:val="0"/>
          <w:marTop w:val="0"/>
          <w:marBottom w:val="0"/>
          <w:divBdr>
            <w:top w:val="none" w:sz="0" w:space="0" w:color="auto"/>
            <w:left w:val="none" w:sz="0" w:space="0" w:color="auto"/>
            <w:bottom w:val="none" w:sz="0" w:space="0" w:color="auto"/>
            <w:right w:val="none" w:sz="0" w:space="0" w:color="auto"/>
          </w:divBdr>
        </w:div>
        <w:div w:id="1426802180">
          <w:marLeft w:val="0"/>
          <w:marRight w:val="0"/>
          <w:marTop w:val="0"/>
          <w:marBottom w:val="0"/>
          <w:divBdr>
            <w:top w:val="none" w:sz="0" w:space="0" w:color="auto"/>
            <w:left w:val="none" w:sz="0" w:space="0" w:color="auto"/>
            <w:bottom w:val="none" w:sz="0" w:space="0" w:color="auto"/>
            <w:right w:val="none" w:sz="0" w:space="0" w:color="auto"/>
          </w:divBdr>
        </w:div>
        <w:div w:id="672222430">
          <w:marLeft w:val="0"/>
          <w:marRight w:val="0"/>
          <w:marTop w:val="0"/>
          <w:marBottom w:val="0"/>
          <w:divBdr>
            <w:top w:val="none" w:sz="0" w:space="0" w:color="auto"/>
            <w:left w:val="none" w:sz="0" w:space="0" w:color="auto"/>
            <w:bottom w:val="none" w:sz="0" w:space="0" w:color="auto"/>
            <w:right w:val="none" w:sz="0" w:space="0" w:color="auto"/>
          </w:divBdr>
        </w:div>
        <w:div w:id="2050766258">
          <w:marLeft w:val="0"/>
          <w:marRight w:val="0"/>
          <w:marTop w:val="0"/>
          <w:marBottom w:val="0"/>
          <w:divBdr>
            <w:top w:val="none" w:sz="0" w:space="0" w:color="auto"/>
            <w:left w:val="none" w:sz="0" w:space="0" w:color="auto"/>
            <w:bottom w:val="none" w:sz="0" w:space="0" w:color="auto"/>
            <w:right w:val="none" w:sz="0" w:space="0" w:color="auto"/>
          </w:divBdr>
        </w:div>
        <w:div w:id="2128692299">
          <w:marLeft w:val="0"/>
          <w:marRight w:val="0"/>
          <w:marTop w:val="0"/>
          <w:marBottom w:val="0"/>
          <w:divBdr>
            <w:top w:val="none" w:sz="0" w:space="0" w:color="auto"/>
            <w:left w:val="none" w:sz="0" w:space="0" w:color="auto"/>
            <w:bottom w:val="none" w:sz="0" w:space="0" w:color="auto"/>
            <w:right w:val="none" w:sz="0" w:space="0" w:color="auto"/>
          </w:divBdr>
        </w:div>
        <w:div w:id="20860686">
          <w:marLeft w:val="0"/>
          <w:marRight w:val="0"/>
          <w:marTop w:val="0"/>
          <w:marBottom w:val="0"/>
          <w:divBdr>
            <w:top w:val="none" w:sz="0" w:space="0" w:color="auto"/>
            <w:left w:val="none" w:sz="0" w:space="0" w:color="auto"/>
            <w:bottom w:val="none" w:sz="0" w:space="0" w:color="auto"/>
            <w:right w:val="none" w:sz="0" w:space="0" w:color="auto"/>
          </w:divBdr>
        </w:div>
        <w:div w:id="1967159363">
          <w:marLeft w:val="0"/>
          <w:marRight w:val="0"/>
          <w:marTop w:val="0"/>
          <w:marBottom w:val="0"/>
          <w:divBdr>
            <w:top w:val="none" w:sz="0" w:space="0" w:color="auto"/>
            <w:left w:val="none" w:sz="0" w:space="0" w:color="auto"/>
            <w:bottom w:val="none" w:sz="0" w:space="0" w:color="auto"/>
            <w:right w:val="none" w:sz="0" w:space="0" w:color="auto"/>
          </w:divBdr>
        </w:div>
        <w:div w:id="1051805521">
          <w:marLeft w:val="0"/>
          <w:marRight w:val="0"/>
          <w:marTop w:val="0"/>
          <w:marBottom w:val="0"/>
          <w:divBdr>
            <w:top w:val="none" w:sz="0" w:space="0" w:color="auto"/>
            <w:left w:val="none" w:sz="0" w:space="0" w:color="auto"/>
            <w:bottom w:val="none" w:sz="0" w:space="0" w:color="auto"/>
            <w:right w:val="none" w:sz="0" w:space="0" w:color="auto"/>
          </w:divBdr>
        </w:div>
        <w:div w:id="106588560">
          <w:marLeft w:val="0"/>
          <w:marRight w:val="0"/>
          <w:marTop w:val="0"/>
          <w:marBottom w:val="0"/>
          <w:divBdr>
            <w:top w:val="none" w:sz="0" w:space="0" w:color="auto"/>
            <w:left w:val="none" w:sz="0" w:space="0" w:color="auto"/>
            <w:bottom w:val="none" w:sz="0" w:space="0" w:color="auto"/>
            <w:right w:val="none" w:sz="0" w:space="0" w:color="auto"/>
          </w:divBdr>
        </w:div>
        <w:div w:id="1687362596">
          <w:marLeft w:val="0"/>
          <w:marRight w:val="0"/>
          <w:marTop w:val="0"/>
          <w:marBottom w:val="0"/>
          <w:divBdr>
            <w:top w:val="none" w:sz="0" w:space="0" w:color="auto"/>
            <w:left w:val="none" w:sz="0" w:space="0" w:color="auto"/>
            <w:bottom w:val="none" w:sz="0" w:space="0" w:color="auto"/>
            <w:right w:val="none" w:sz="0" w:space="0" w:color="auto"/>
          </w:divBdr>
        </w:div>
        <w:div w:id="361786415">
          <w:marLeft w:val="0"/>
          <w:marRight w:val="0"/>
          <w:marTop w:val="0"/>
          <w:marBottom w:val="0"/>
          <w:divBdr>
            <w:top w:val="none" w:sz="0" w:space="0" w:color="auto"/>
            <w:left w:val="none" w:sz="0" w:space="0" w:color="auto"/>
            <w:bottom w:val="none" w:sz="0" w:space="0" w:color="auto"/>
            <w:right w:val="none" w:sz="0" w:space="0" w:color="auto"/>
          </w:divBdr>
        </w:div>
        <w:div w:id="2007319554">
          <w:marLeft w:val="0"/>
          <w:marRight w:val="0"/>
          <w:marTop w:val="0"/>
          <w:marBottom w:val="0"/>
          <w:divBdr>
            <w:top w:val="none" w:sz="0" w:space="0" w:color="auto"/>
            <w:left w:val="none" w:sz="0" w:space="0" w:color="auto"/>
            <w:bottom w:val="none" w:sz="0" w:space="0" w:color="auto"/>
            <w:right w:val="none" w:sz="0" w:space="0" w:color="auto"/>
          </w:divBdr>
        </w:div>
        <w:div w:id="233978314">
          <w:marLeft w:val="0"/>
          <w:marRight w:val="0"/>
          <w:marTop w:val="0"/>
          <w:marBottom w:val="0"/>
          <w:divBdr>
            <w:top w:val="none" w:sz="0" w:space="0" w:color="auto"/>
            <w:left w:val="none" w:sz="0" w:space="0" w:color="auto"/>
            <w:bottom w:val="none" w:sz="0" w:space="0" w:color="auto"/>
            <w:right w:val="none" w:sz="0" w:space="0" w:color="auto"/>
          </w:divBdr>
        </w:div>
        <w:div w:id="578712539">
          <w:marLeft w:val="0"/>
          <w:marRight w:val="0"/>
          <w:marTop w:val="0"/>
          <w:marBottom w:val="0"/>
          <w:divBdr>
            <w:top w:val="none" w:sz="0" w:space="0" w:color="auto"/>
            <w:left w:val="none" w:sz="0" w:space="0" w:color="auto"/>
            <w:bottom w:val="none" w:sz="0" w:space="0" w:color="auto"/>
            <w:right w:val="none" w:sz="0" w:space="0" w:color="auto"/>
          </w:divBdr>
        </w:div>
        <w:div w:id="1222595044">
          <w:marLeft w:val="0"/>
          <w:marRight w:val="0"/>
          <w:marTop w:val="0"/>
          <w:marBottom w:val="0"/>
          <w:divBdr>
            <w:top w:val="none" w:sz="0" w:space="0" w:color="auto"/>
            <w:left w:val="none" w:sz="0" w:space="0" w:color="auto"/>
            <w:bottom w:val="none" w:sz="0" w:space="0" w:color="auto"/>
            <w:right w:val="none" w:sz="0" w:space="0" w:color="auto"/>
          </w:divBdr>
        </w:div>
        <w:div w:id="1116631764">
          <w:marLeft w:val="0"/>
          <w:marRight w:val="0"/>
          <w:marTop w:val="0"/>
          <w:marBottom w:val="0"/>
          <w:divBdr>
            <w:top w:val="none" w:sz="0" w:space="0" w:color="auto"/>
            <w:left w:val="none" w:sz="0" w:space="0" w:color="auto"/>
            <w:bottom w:val="none" w:sz="0" w:space="0" w:color="auto"/>
            <w:right w:val="none" w:sz="0" w:space="0" w:color="auto"/>
          </w:divBdr>
        </w:div>
        <w:div w:id="1448694551">
          <w:marLeft w:val="0"/>
          <w:marRight w:val="0"/>
          <w:marTop w:val="0"/>
          <w:marBottom w:val="0"/>
          <w:divBdr>
            <w:top w:val="none" w:sz="0" w:space="0" w:color="auto"/>
            <w:left w:val="none" w:sz="0" w:space="0" w:color="auto"/>
            <w:bottom w:val="none" w:sz="0" w:space="0" w:color="auto"/>
            <w:right w:val="none" w:sz="0" w:space="0" w:color="auto"/>
          </w:divBdr>
        </w:div>
        <w:div w:id="1105804508">
          <w:marLeft w:val="0"/>
          <w:marRight w:val="0"/>
          <w:marTop w:val="0"/>
          <w:marBottom w:val="0"/>
          <w:divBdr>
            <w:top w:val="none" w:sz="0" w:space="0" w:color="auto"/>
            <w:left w:val="none" w:sz="0" w:space="0" w:color="auto"/>
            <w:bottom w:val="none" w:sz="0" w:space="0" w:color="auto"/>
            <w:right w:val="none" w:sz="0" w:space="0" w:color="auto"/>
          </w:divBdr>
        </w:div>
        <w:div w:id="1783108311">
          <w:marLeft w:val="0"/>
          <w:marRight w:val="0"/>
          <w:marTop w:val="0"/>
          <w:marBottom w:val="0"/>
          <w:divBdr>
            <w:top w:val="none" w:sz="0" w:space="0" w:color="auto"/>
            <w:left w:val="none" w:sz="0" w:space="0" w:color="auto"/>
            <w:bottom w:val="none" w:sz="0" w:space="0" w:color="auto"/>
            <w:right w:val="none" w:sz="0" w:space="0" w:color="auto"/>
          </w:divBdr>
        </w:div>
        <w:div w:id="1092047121">
          <w:marLeft w:val="0"/>
          <w:marRight w:val="0"/>
          <w:marTop w:val="0"/>
          <w:marBottom w:val="0"/>
          <w:divBdr>
            <w:top w:val="none" w:sz="0" w:space="0" w:color="auto"/>
            <w:left w:val="none" w:sz="0" w:space="0" w:color="auto"/>
            <w:bottom w:val="none" w:sz="0" w:space="0" w:color="auto"/>
            <w:right w:val="none" w:sz="0" w:space="0" w:color="auto"/>
          </w:divBdr>
        </w:div>
        <w:div w:id="516165321">
          <w:marLeft w:val="0"/>
          <w:marRight w:val="0"/>
          <w:marTop w:val="0"/>
          <w:marBottom w:val="0"/>
          <w:divBdr>
            <w:top w:val="none" w:sz="0" w:space="0" w:color="auto"/>
            <w:left w:val="none" w:sz="0" w:space="0" w:color="auto"/>
            <w:bottom w:val="none" w:sz="0" w:space="0" w:color="auto"/>
            <w:right w:val="none" w:sz="0" w:space="0" w:color="auto"/>
          </w:divBdr>
        </w:div>
        <w:div w:id="1123887844">
          <w:marLeft w:val="0"/>
          <w:marRight w:val="0"/>
          <w:marTop w:val="0"/>
          <w:marBottom w:val="0"/>
          <w:divBdr>
            <w:top w:val="none" w:sz="0" w:space="0" w:color="auto"/>
            <w:left w:val="none" w:sz="0" w:space="0" w:color="auto"/>
            <w:bottom w:val="none" w:sz="0" w:space="0" w:color="auto"/>
            <w:right w:val="none" w:sz="0" w:space="0" w:color="auto"/>
          </w:divBdr>
        </w:div>
        <w:div w:id="2034917260">
          <w:marLeft w:val="0"/>
          <w:marRight w:val="0"/>
          <w:marTop w:val="0"/>
          <w:marBottom w:val="0"/>
          <w:divBdr>
            <w:top w:val="none" w:sz="0" w:space="0" w:color="auto"/>
            <w:left w:val="none" w:sz="0" w:space="0" w:color="auto"/>
            <w:bottom w:val="none" w:sz="0" w:space="0" w:color="auto"/>
            <w:right w:val="none" w:sz="0" w:space="0" w:color="auto"/>
          </w:divBdr>
        </w:div>
      </w:divsChild>
    </w:div>
    <w:div w:id="10506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UMBC</dc:creator>
  <cp:lastModifiedBy>Taylor Hall</cp:lastModifiedBy>
  <cp:revision>2</cp:revision>
  <cp:lastPrinted>2017-09-28T15:21:00Z</cp:lastPrinted>
  <dcterms:created xsi:type="dcterms:W3CDTF">2018-03-16T12:22:00Z</dcterms:created>
  <dcterms:modified xsi:type="dcterms:W3CDTF">2018-03-16T12:22:00Z</dcterms:modified>
</cp:coreProperties>
</file>